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7A" w:rsidRDefault="003A2F7A" w:rsidP="003A2F7A">
      <w:pPr>
        <w:pStyle w:val="ConsPlusNormal"/>
        <w:jc w:val="center"/>
        <w:rPr>
          <w:b/>
          <w:bCs/>
          <w:sz w:val="24"/>
          <w:szCs w:val="24"/>
        </w:rPr>
      </w:pPr>
    </w:p>
    <w:p w:rsidR="003A2F7A" w:rsidRDefault="003A2F7A" w:rsidP="003A2F7A">
      <w:pPr>
        <w:pStyle w:val="ConsPlusNormal"/>
        <w:jc w:val="center"/>
        <w:rPr>
          <w:b/>
          <w:bCs/>
          <w:sz w:val="24"/>
          <w:szCs w:val="24"/>
        </w:rPr>
      </w:pPr>
      <w:r>
        <w:rPr>
          <w:b/>
          <w:bCs/>
          <w:sz w:val="24"/>
          <w:szCs w:val="24"/>
        </w:rPr>
        <w:t>МИНИСТЕРСТВО РОССИЙСКОЙ ФЕДЕРАЦИИ ПО ДЕЛАМ ГРАЖДАНСКОЙ</w:t>
      </w:r>
    </w:p>
    <w:p w:rsidR="003A2F7A" w:rsidRDefault="003A2F7A" w:rsidP="003A2F7A">
      <w:pPr>
        <w:pStyle w:val="ConsPlusNormal"/>
        <w:jc w:val="center"/>
        <w:rPr>
          <w:b/>
          <w:bCs/>
          <w:sz w:val="24"/>
          <w:szCs w:val="24"/>
        </w:rPr>
      </w:pPr>
      <w:r>
        <w:rPr>
          <w:b/>
          <w:bCs/>
          <w:sz w:val="24"/>
          <w:szCs w:val="24"/>
        </w:rPr>
        <w:t>ОБОРОНЫ, ЧРЕЗВЫЧАЙНЫМ СИТУАЦИЯМ И ЛИКВИДАЦИИ</w:t>
      </w:r>
    </w:p>
    <w:p w:rsidR="003A2F7A" w:rsidRDefault="003A2F7A" w:rsidP="003A2F7A">
      <w:pPr>
        <w:pStyle w:val="ConsPlusNormal"/>
        <w:jc w:val="center"/>
        <w:rPr>
          <w:b/>
          <w:bCs/>
          <w:sz w:val="24"/>
          <w:szCs w:val="24"/>
        </w:rPr>
      </w:pPr>
      <w:r>
        <w:rPr>
          <w:b/>
          <w:bCs/>
          <w:sz w:val="24"/>
          <w:szCs w:val="24"/>
        </w:rPr>
        <w:t>ПОСЛЕДСТВИЙ СТИХИЙНЫХ БЕДСТВИЙ</w:t>
      </w:r>
    </w:p>
    <w:p w:rsidR="003A2F7A" w:rsidRDefault="003A2F7A" w:rsidP="003A2F7A">
      <w:pPr>
        <w:pStyle w:val="ConsPlusNormal"/>
        <w:jc w:val="center"/>
        <w:rPr>
          <w:b/>
          <w:bCs/>
          <w:sz w:val="24"/>
          <w:szCs w:val="24"/>
        </w:rPr>
      </w:pPr>
    </w:p>
    <w:p w:rsidR="003A2F7A" w:rsidRDefault="003A2F7A" w:rsidP="003A2F7A">
      <w:pPr>
        <w:pStyle w:val="ConsPlusNormal"/>
        <w:jc w:val="center"/>
        <w:rPr>
          <w:b/>
          <w:bCs/>
          <w:sz w:val="24"/>
          <w:szCs w:val="24"/>
        </w:rPr>
      </w:pPr>
    </w:p>
    <w:p w:rsidR="003A2F7A" w:rsidRDefault="003A2F7A" w:rsidP="003A2F7A">
      <w:pPr>
        <w:pStyle w:val="ConsPlusNormal"/>
        <w:jc w:val="center"/>
        <w:rPr>
          <w:b/>
          <w:bCs/>
          <w:sz w:val="24"/>
          <w:szCs w:val="24"/>
        </w:rPr>
      </w:pPr>
      <w:r>
        <w:rPr>
          <w:b/>
          <w:bCs/>
          <w:sz w:val="24"/>
          <w:szCs w:val="24"/>
        </w:rPr>
        <w:t>ПИСЬМО</w:t>
      </w:r>
    </w:p>
    <w:p w:rsidR="003A2F7A" w:rsidRDefault="003A2F7A" w:rsidP="003A2F7A">
      <w:pPr>
        <w:pStyle w:val="ConsPlusNormal"/>
        <w:jc w:val="center"/>
        <w:rPr>
          <w:b/>
          <w:bCs/>
          <w:sz w:val="24"/>
          <w:szCs w:val="24"/>
        </w:rPr>
      </w:pPr>
      <w:r>
        <w:rPr>
          <w:b/>
          <w:bCs/>
          <w:sz w:val="24"/>
          <w:szCs w:val="24"/>
        </w:rPr>
        <w:t>от 15 марта 2010 г. N 43-814-19</w:t>
      </w:r>
    </w:p>
    <w:p w:rsidR="003A2F7A" w:rsidRDefault="003A2F7A" w:rsidP="003A2F7A">
      <w:pPr>
        <w:pStyle w:val="ConsPlusNormal"/>
        <w:jc w:val="center"/>
        <w:rPr>
          <w:b/>
          <w:bCs/>
          <w:sz w:val="24"/>
          <w:szCs w:val="24"/>
        </w:rPr>
      </w:pPr>
      <w:bookmarkStart w:id="0" w:name="_GoBack"/>
      <w:bookmarkEnd w:id="0"/>
    </w:p>
    <w:p w:rsidR="003A2F7A" w:rsidRDefault="003A2F7A" w:rsidP="003A2F7A">
      <w:pPr>
        <w:pStyle w:val="ConsPlusNormal"/>
        <w:ind w:firstLine="540"/>
        <w:jc w:val="both"/>
        <w:rPr>
          <w:sz w:val="24"/>
          <w:szCs w:val="24"/>
        </w:rPr>
      </w:pPr>
    </w:p>
    <w:p w:rsidR="003A2F7A" w:rsidRDefault="003A2F7A" w:rsidP="003A2F7A">
      <w:pPr>
        <w:pStyle w:val="ConsPlusNormal"/>
        <w:ind w:firstLine="540"/>
        <w:jc w:val="both"/>
        <w:rPr>
          <w:sz w:val="24"/>
          <w:szCs w:val="24"/>
        </w:rPr>
      </w:pPr>
      <w:r>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 на основе проведенного мониторинга обращений физических и юридических лиц по вопросам разработки декларации пожарной безопасности и итогов селекторного совещания (протокол от 17.02.2010 N 2-ГК) разъясняется следующее.</w:t>
      </w:r>
    </w:p>
    <w:p w:rsidR="003A2F7A" w:rsidRDefault="003A2F7A" w:rsidP="003A2F7A">
      <w:pPr>
        <w:pStyle w:val="ConsPlusNormal"/>
        <w:ind w:firstLine="540"/>
        <w:jc w:val="both"/>
        <w:rPr>
          <w:sz w:val="24"/>
          <w:szCs w:val="24"/>
        </w:rPr>
      </w:pPr>
      <w:r>
        <w:rPr>
          <w:sz w:val="24"/>
          <w:szCs w:val="24"/>
        </w:rPr>
        <w:t>Декларация пожарной безопасности разрабатывается в соответствии с положениями статей 6, 64 Федерального закона от 22 июля 2008 г. N 123-ФЗ "Технический регламент о требованиях пожарной безопасности" (далее - Технический регламент). Форма и правила заполнения декларации определены положениями Приказа МЧС России от 16.03.2007 N 91, зарегистрированного в Минюсте России от 23.03.2009 N 13577.</w:t>
      </w:r>
    </w:p>
    <w:p w:rsidR="003A2F7A" w:rsidRDefault="003A2F7A" w:rsidP="003A2F7A">
      <w:pPr>
        <w:pStyle w:val="ConsPlusNormal"/>
        <w:ind w:firstLine="540"/>
        <w:jc w:val="both"/>
        <w:rPr>
          <w:sz w:val="24"/>
          <w:szCs w:val="24"/>
        </w:rPr>
      </w:pPr>
      <w:r>
        <w:rPr>
          <w:sz w:val="24"/>
          <w:szCs w:val="24"/>
        </w:rPr>
        <w:t xml:space="preserve">Частью 7 статьи 64 Технического регламента установлено, что для объектов защиты, </w:t>
      </w:r>
      <w:proofErr w:type="spellStart"/>
      <w:r>
        <w:rPr>
          <w:sz w:val="24"/>
          <w:szCs w:val="24"/>
        </w:rPr>
        <w:t>эксплуатирующихся</w:t>
      </w:r>
      <w:proofErr w:type="spellEnd"/>
      <w:r>
        <w:rPr>
          <w:sz w:val="24"/>
          <w:szCs w:val="24"/>
        </w:rPr>
        <w:t xml:space="preserve"> на момент вступления в силу Технического регламента, декларация пожарной безопасности должна быть разработана в течение года после его вступления в силу. Данное требование распространяется на все объекты защиты, параметры которых на настоящий момент предусматривают проведение государственной экспертизы проектной документации, независимо от даты введения их в эксплуатацию, а также зданий класса функциональной пожарной опасности Ф 1.1 независимо от строительных критериев.</w:t>
      </w:r>
    </w:p>
    <w:p w:rsidR="003A2F7A" w:rsidRDefault="003A2F7A" w:rsidP="003A2F7A">
      <w:pPr>
        <w:pStyle w:val="ConsPlusNormal"/>
        <w:ind w:firstLine="540"/>
        <w:jc w:val="both"/>
        <w:rPr>
          <w:sz w:val="24"/>
          <w:szCs w:val="24"/>
        </w:rPr>
      </w:pPr>
      <w:r>
        <w:rPr>
          <w:sz w:val="24"/>
          <w:szCs w:val="24"/>
        </w:rPr>
        <w:t xml:space="preserve">Для строящихся объектов декларация пожарной безопасности должна быть составлена и направлена в органы государственного пожарного надзора МЧС России, непосредственно перед вводом объекта защиты в эксплуатацию. Декларация пожарной безопасности не представляется в орган строительного надзора при получении заключения о соответствии требованиям технических регламентов объектов, завершенных строительством или реконструкцией, и не является составной частью проектной документации. Отсутствие декларации не является основанием для отказа введения объекта защиты в эксплуатацию (соответствующее разъяснение </w:t>
      </w:r>
      <w:proofErr w:type="spellStart"/>
      <w:r>
        <w:rPr>
          <w:sz w:val="24"/>
          <w:szCs w:val="24"/>
        </w:rPr>
        <w:t>Ростехнадзора</w:t>
      </w:r>
      <w:proofErr w:type="spellEnd"/>
      <w:r>
        <w:rPr>
          <w:sz w:val="24"/>
          <w:szCs w:val="24"/>
        </w:rPr>
        <w:t xml:space="preserve"> направлялось ранее письмом от 23.12.2009 N 19-2-3-7722).</w:t>
      </w:r>
    </w:p>
    <w:p w:rsidR="003A2F7A" w:rsidRDefault="003A2F7A" w:rsidP="003A2F7A">
      <w:pPr>
        <w:pStyle w:val="ConsPlusNormal"/>
        <w:ind w:firstLine="540"/>
        <w:jc w:val="both"/>
        <w:rPr>
          <w:sz w:val="24"/>
          <w:szCs w:val="24"/>
        </w:rPr>
      </w:pPr>
      <w:r>
        <w:rPr>
          <w:sz w:val="24"/>
          <w:szCs w:val="24"/>
        </w:rPr>
        <w:t>Декларация должна быть разработана собственником объекта защиты, или лицом, владеющим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Так, например, учитывая положения части 4 статьи 64 Технического регламента, декларацию пожарной безопасности на многоквартирный жилой дом со встроенными помещениями общественного назначения разрабатывает орган управления многоквартирным домом, на общественное или административное здание, принадлежащее нескольким собственникам, - орган управления зданием.</w:t>
      </w:r>
    </w:p>
    <w:p w:rsidR="003A2F7A" w:rsidRDefault="003A2F7A" w:rsidP="003A2F7A">
      <w:pPr>
        <w:pStyle w:val="ConsPlusNormal"/>
        <w:ind w:firstLine="540"/>
        <w:jc w:val="both"/>
        <w:rPr>
          <w:sz w:val="24"/>
          <w:szCs w:val="24"/>
        </w:rPr>
      </w:pPr>
      <w:r>
        <w:rPr>
          <w:sz w:val="24"/>
          <w:szCs w:val="24"/>
        </w:rPr>
        <w:t>Наличие аккредитации в области пожарной безопасности для любых организаций, выполняющих разработку деклараций пожарной безопасности и проведение расчетов пожарного риска, не требуется.</w:t>
      </w:r>
    </w:p>
    <w:p w:rsidR="003A2F7A" w:rsidRDefault="003A2F7A" w:rsidP="003A2F7A">
      <w:pPr>
        <w:pStyle w:val="ConsPlusNormal"/>
        <w:ind w:firstLine="540"/>
        <w:jc w:val="both"/>
        <w:rPr>
          <w:sz w:val="24"/>
          <w:szCs w:val="24"/>
        </w:rPr>
      </w:pPr>
      <w:r>
        <w:rPr>
          <w:sz w:val="24"/>
          <w:szCs w:val="24"/>
        </w:rPr>
        <w:lastRenderedPageBreak/>
        <w:t>В декларации пожарной безопасности указываются статьи Технического регламента и нормативных документов, содержащих требования пожарной безопасности, выполнение которых должно быть обеспечено на объекте защиты. Причем на действующие объекты защиты расчет пожарного риска не требуется.</w:t>
      </w:r>
    </w:p>
    <w:p w:rsidR="003A2F7A" w:rsidRDefault="003A2F7A" w:rsidP="003A2F7A">
      <w:pPr>
        <w:pStyle w:val="ConsPlusNormal"/>
        <w:ind w:firstLine="540"/>
        <w:jc w:val="both"/>
        <w:rPr>
          <w:sz w:val="24"/>
          <w:szCs w:val="24"/>
        </w:rPr>
      </w:pPr>
      <w:r>
        <w:rPr>
          <w:sz w:val="24"/>
          <w:szCs w:val="24"/>
        </w:rPr>
        <w:t xml:space="preserve">Кроме того, в декларации на объекты защиты, </w:t>
      </w:r>
      <w:proofErr w:type="spellStart"/>
      <w:r>
        <w:rPr>
          <w:sz w:val="24"/>
          <w:szCs w:val="24"/>
        </w:rPr>
        <w:t>эксплуатировавшиеся</w:t>
      </w:r>
      <w:proofErr w:type="spellEnd"/>
      <w:r>
        <w:rPr>
          <w:sz w:val="24"/>
          <w:szCs w:val="24"/>
        </w:rPr>
        <w:t xml:space="preserve"> на день вступления в силу Технического регламента, достаточно указать требования пожарной безопасности, которыми необходимо пользоваться при эксплуатации объектов.</w:t>
      </w:r>
    </w:p>
    <w:p w:rsidR="003A2F7A" w:rsidRDefault="003A2F7A" w:rsidP="003A2F7A">
      <w:pPr>
        <w:pStyle w:val="ConsPlusNormal"/>
        <w:ind w:firstLine="540"/>
        <w:jc w:val="both"/>
        <w:rPr>
          <w:sz w:val="24"/>
          <w:szCs w:val="24"/>
        </w:rPr>
      </w:pPr>
      <w:r>
        <w:rPr>
          <w:sz w:val="24"/>
          <w:szCs w:val="24"/>
        </w:rPr>
        <w:t>Сумму ущерба третьим лицам от возможного пожара на объекте защиты составитель декларации определяет самостоятельно.</w:t>
      </w:r>
    </w:p>
    <w:p w:rsidR="003A2F7A" w:rsidRDefault="003A2F7A" w:rsidP="003A2F7A">
      <w:pPr>
        <w:pStyle w:val="ConsPlusNormal"/>
        <w:ind w:firstLine="540"/>
        <w:jc w:val="both"/>
        <w:rPr>
          <w:sz w:val="24"/>
          <w:szCs w:val="24"/>
        </w:rPr>
      </w:pPr>
      <w:r>
        <w:rPr>
          <w:sz w:val="24"/>
          <w:szCs w:val="24"/>
        </w:rPr>
        <w:t>Декларация представляется в уведомительном порядке и согласованию с органами государственного пожарного надзора не подлежит. Отказом в регистрации декларации пожарной безопасности может послужить только ее несоответствие установленной форме.</w:t>
      </w:r>
    </w:p>
    <w:p w:rsidR="003A2F7A" w:rsidRDefault="003A2F7A" w:rsidP="003A2F7A">
      <w:pPr>
        <w:pStyle w:val="ConsPlusNormal"/>
        <w:ind w:firstLine="540"/>
        <w:jc w:val="both"/>
        <w:rPr>
          <w:sz w:val="24"/>
          <w:szCs w:val="24"/>
        </w:rPr>
      </w:pPr>
      <w:r>
        <w:rPr>
          <w:sz w:val="24"/>
          <w:szCs w:val="24"/>
        </w:rPr>
        <w:t>Проверка изложенных в ней требований пожарной безопасности должна производиться только при проведении мероприятий по контролю.</w:t>
      </w:r>
    </w:p>
    <w:p w:rsidR="003A2F7A" w:rsidRDefault="003A2F7A" w:rsidP="003A2F7A">
      <w:pPr>
        <w:pStyle w:val="ConsPlusNormal"/>
        <w:ind w:firstLine="540"/>
        <w:jc w:val="both"/>
        <w:rPr>
          <w:sz w:val="24"/>
          <w:szCs w:val="24"/>
        </w:rPr>
      </w:pPr>
    </w:p>
    <w:p w:rsidR="003A2F7A" w:rsidRDefault="003A2F7A" w:rsidP="003A2F7A">
      <w:pPr>
        <w:pStyle w:val="ConsPlusNormal"/>
        <w:jc w:val="right"/>
        <w:rPr>
          <w:sz w:val="24"/>
          <w:szCs w:val="24"/>
        </w:rPr>
      </w:pPr>
      <w:r>
        <w:rPr>
          <w:sz w:val="24"/>
          <w:szCs w:val="24"/>
        </w:rPr>
        <w:t>Г.Н.КИРИЛЛОВ</w:t>
      </w:r>
    </w:p>
    <w:p w:rsidR="000D28A4" w:rsidRDefault="003A2F7A"/>
    <w:sectPr w:rsidR="000D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A"/>
    <w:rsid w:val="003A2F7A"/>
    <w:rsid w:val="007F7B25"/>
    <w:rsid w:val="008E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F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F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2015-04-07T14:43:00Z</dcterms:created>
  <dcterms:modified xsi:type="dcterms:W3CDTF">2015-04-07T14:45:00Z</dcterms:modified>
</cp:coreProperties>
</file>