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98" w:rsidRDefault="00BF5498" w:rsidP="00BF5498">
      <w:pPr>
        <w:pStyle w:val="ConsPlusNormal"/>
        <w:jc w:val="center"/>
        <w:rPr>
          <w:b/>
          <w:bCs/>
          <w:sz w:val="24"/>
          <w:szCs w:val="24"/>
        </w:rPr>
      </w:pP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МИНИСТЕРСТВО РОССИЙСКОЙ ФЕДЕРАЦИИ ПО ДЕЛАМ ГРАЖДАНСКОЙ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ОБОРОНЫ, ЧРЕЗВЫЧАЙНЫМ СИТУАЦИЯМ И ЛИКВИДАЦИИ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ПОСЛЕДСТВИЙ СТИХИЙНЫХ БЕДСТВИЙ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ИНФОРМАЦИОННОЕ ПИСЬМО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от 1 сентября 2011 г. N 19-2-3-3417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О ПОРЯДКЕ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bookmarkStart w:id="0" w:name="_GoBack"/>
      <w:r w:rsidRPr="00BF5498">
        <w:rPr>
          <w:b/>
          <w:bCs/>
          <w:sz w:val="22"/>
          <w:szCs w:val="22"/>
        </w:rPr>
        <w:t>ПРИМЕНЕНИЯ ОТДЕЛЬНЫХ ПОЛОЖЕНИЙ ФЕДЕРАЛЬНОГО ЗАКОНА</w:t>
      </w:r>
    </w:p>
    <w:bookmarkEnd w:id="0"/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ОТ 22.07.2008 N 123-ФЗ "ТЕХНИЧЕСКИЙ РЕГЛАМЕНТ</w:t>
      </w:r>
    </w:p>
    <w:p w:rsidR="00BF5498" w:rsidRPr="00BF5498" w:rsidRDefault="00BF5498" w:rsidP="00BF5498">
      <w:pPr>
        <w:pStyle w:val="ConsPlusNormal"/>
        <w:jc w:val="center"/>
        <w:rPr>
          <w:b/>
          <w:bCs/>
          <w:sz w:val="22"/>
          <w:szCs w:val="22"/>
        </w:rPr>
      </w:pPr>
      <w:r w:rsidRPr="00BF5498">
        <w:rPr>
          <w:b/>
          <w:bCs/>
          <w:sz w:val="22"/>
          <w:szCs w:val="22"/>
        </w:rPr>
        <w:t>О ТРЕБОВАНИЯХ ПОЖАРНОЙ БЕЗОПАСНОСТИ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В настоящее время от различных организаций в МЧС России поступают запросы о разъяснении порядка применения ст. 37 Федерального закона от 22.07.2008 N 123-ФЗ "Технический регламент о требованиях пожарной безопасности" (далее - Технический регламент) и главы 16 Технического регламента, устанавливающей требования к противопожарным расстояниям между объектами защиты.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В соответствии с положениями части 1 статьи 37 Технического регламента противопожарные преграды в зависимости от способа предотвращения распространения опасных факторов пожара подразделяются на следующие типы: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1) противопожарные стены;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2) противопожарные перегородки;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3) противопожарные перекрытия;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4) противопожарные разрывы;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5) противопожарные занавесы, шторы и экраны;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6) противопожарные водяные завесы;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7) противопожарные минерализованные полосы.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Область применения указанных преград в зависимости от размещения объекта защиты в рамках сложившейся застройки, принятых объемно-планировочных решений определяется организацией-проектировщиком в каждом отдельном случае в зависимости от специфики проектируемого объекта защиты.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В случае выбора в качестве противопожарной преграды противопожарного разрыва следует руководствоваться положениями главы 16 Технического регламента.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>Вместе с тем, выбор в качестве противопожарной преграды одного из перечисленных решений или их комбинации позволяет снижать расстояния до соседних объектов, что не противоречит требованиям названного закона.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  <w:r w:rsidRPr="00BF5498">
        <w:rPr>
          <w:sz w:val="24"/>
          <w:szCs w:val="24"/>
        </w:rPr>
        <w:t xml:space="preserve">Одновременно сообщается, при проведении капитального ремонта, реконструкции, технического перевооружения, изменения функционального назначения требования Технического регламента распространяются только </w:t>
      </w:r>
      <w:proofErr w:type="gramStart"/>
      <w:r w:rsidRPr="00BF5498">
        <w:rPr>
          <w:sz w:val="24"/>
          <w:szCs w:val="24"/>
        </w:rPr>
        <w:t>на те</w:t>
      </w:r>
      <w:proofErr w:type="gramEnd"/>
      <w:r w:rsidRPr="00BF5498">
        <w:rPr>
          <w:sz w:val="24"/>
          <w:szCs w:val="24"/>
        </w:rPr>
        <w:t xml:space="preserve"> части объекта защиты, на которых проводится такая работа. При этом</w:t>
      </w:r>
      <w:proofErr w:type="gramStart"/>
      <w:r w:rsidRPr="00BF5498">
        <w:rPr>
          <w:sz w:val="24"/>
          <w:szCs w:val="24"/>
        </w:rPr>
        <w:t>,</w:t>
      </w:r>
      <w:proofErr w:type="gramEnd"/>
      <w:r w:rsidRPr="00BF5498">
        <w:rPr>
          <w:sz w:val="24"/>
          <w:szCs w:val="24"/>
        </w:rPr>
        <w:t xml:space="preserve"> если упомянутые мероприятия не затрагивают генерального плана, то ширина противопожарных разрывов может быть сохранена в соответствии с требованиями ранее действовавших норм.</w:t>
      </w:r>
    </w:p>
    <w:p w:rsidR="00BF5498" w:rsidRPr="00BF5498" w:rsidRDefault="00BF5498" w:rsidP="00BF5498">
      <w:pPr>
        <w:pStyle w:val="ConsPlusNormal"/>
        <w:ind w:firstLine="540"/>
        <w:jc w:val="both"/>
        <w:rPr>
          <w:sz w:val="24"/>
          <w:szCs w:val="24"/>
        </w:rPr>
      </w:pPr>
    </w:p>
    <w:p w:rsidR="00BF5498" w:rsidRPr="00BF5498" w:rsidRDefault="00BF5498" w:rsidP="00BF5498">
      <w:pPr>
        <w:pStyle w:val="ConsPlusNormal"/>
        <w:jc w:val="right"/>
        <w:rPr>
          <w:sz w:val="24"/>
          <w:szCs w:val="24"/>
        </w:rPr>
      </w:pPr>
      <w:r w:rsidRPr="00BF5498">
        <w:rPr>
          <w:sz w:val="24"/>
          <w:szCs w:val="24"/>
        </w:rPr>
        <w:t>Заместитель главного государственного</w:t>
      </w:r>
    </w:p>
    <w:p w:rsidR="00BF5498" w:rsidRPr="00BF5498" w:rsidRDefault="00BF5498" w:rsidP="00BF5498">
      <w:pPr>
        <w:pStyle w:val="ConsPlusNormal"/>
        <w:jc w:val="right"/>
        <w:rPr>
          <w:sz w:val="24"/>
          <w:szCs w:val="24"/>
        </w:rPr>
      </w:pPr>
      <w:r w:rsidRPr="00BF5498">
        <w:rPr>
          <w:sz w:val="24"/>
          <w:szCs w:val="24"/>
        </w:rPr>
        <w:t>инспектора Российской Федерации</w:t>
      </w:r>
    </w:p>
    <w:p w:rsidR="00BF5498" w:rsidRPr="00BF5498" w:rsidRDefault="00BF5498" w:rsidP="00BF5498">
      <w:pPr>
        <w:pStyle w:val="ConsPlusNormal"/>
        <w:jc w:val="right"/>
        <w:rPr>
          <w:sz w:val="24"/>
          <w:szCs w:val="24"/>
        </w:rPr>
      </w:pPr>
      <w:r w:rsidRPr="00BF5498">
        <w:rPr>
          <w:sz w:val="24"/>
          <w:szCs w:val="24"/>
        </w:rPr>
        <w:t>по пожарному надзору -</w:t>
      </w:r>
    </w:p>
    <w:p w:rsidR="00BF5498" w:rsidRPr="00BF5498" w:rsidRDefault="00BF5498" w:rsidP="00BF5498">
      <w:pPr>
        <w:pStyle w:val="ConsPlusNormal"/>
        <w:jc w:val="right"/>
        <w:rPr>
          <w:sz w:val="24"/>
          <w:szCs w:val="24"/>
        </w:rPr>
      </w:pPr>
      <w:r w:rsidRPr="00BF5498">
        <w:rPr>
          <w:sz w:val="24"/>
          <w:szCs w:val="24"/>
        </w:rPr>
        <w:t>заместитель директора</w:t>
      </w:r>
    </w:p>
    <w:p w:rsidR="00BF5498" w:rsidRPr="00BF5498" w:rsidRDefault="00BF5498" w:rsidP="00BF5498">
      <w:pPr>
        <w:pStyle w:val="ConsPlusNormal"/>
        <w:jc w:val="right"/>
        <w:rPr>
          <w:sz w:val="24"/>
          <w:szCs w:val="24"/>
        </w:rPr>
      </w:pPr>
      <w:r w:rsidRPr="00BF5498">
        <w:rPr>
          <w:sz w:val="24"/>
          <w:szCs w:val="24"/>
        </w:rPr>
        <w:t>Департамента надзорной деятельности</w:t>
      </w:r>
    </w:p>
    <w:p w:rsidR="00BF5498" w:rsidRPr="00BF5498" w:rsidRDefault="00BF5498" w:rsidP="00BF5498">
      <w:pPr>
        <w:pStyle w:val="ConsPlusNormal"/>
        <w:jc w:val="right"/>
        <w:rPr>
          <w:sz w:val="24"/>
          <w:szCs w:val="24"/>
        </w:rPr>
      </w:pPr>
      <w:r w:rsidRPr="00BF5498">
        <w:rPr>
          <w:sz w:val="24"/>
          <w:szCs w:val="24"/>
        </w:rPr>
        <w:t>А.Н.ГИЛЕТИЧ</w:t>
      </w:r>
    </w:p>
    <w:p w:rsidR="000D28A4" w:rsidRDefault="00BF5498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98"/>
    <w:rsid w:val="007F7B25"/>
    <w:rsid w:val="008E3E44"/>
    <w:rsid w:val="00B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2015-04-07T13:56:00Z</dcterms:created>
  <dcterms:modified xsi:type="dcterms:W3CDTF">2015-04-07T13:59:00Z</dcterms:modified>
</cp:coreProperties>
</file>